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Käsitteet</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 taulukoitujen tietojen avulla</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haasteet</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 ja jatkotutkimusaiheet</w:t>
      </w:r>
    </w:p>
    <w:p>
      <w:pPr>
        <w:pStyle w:val="Compact"/>
        <w:numPr>
          <w:numId w:val="1020"/>
          <w:ilvl w:val="1"/>
        </w:numPr>
      </w:pPr>
      <w:r>
        <w:t xml:space="preserve">Oppiminen</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Mitä jos maatalouden teknologiakehitys ja tuotanto pysähtyisivät nykyiselle tasolle? Olisiko meillä yhtä paljon ruokaa vielä vuonna 2050? Entä miten maatalous voisi olla juuri nyt kiinnostava teknologia-ala?</w:t>
      </w:r>
    </w:p>
    <w:p>
      <w:pPr>
        <w:pStyle w:val="BodyText"/>
      </w:pPr>
      <w:r>
        <w:t xml:space="preserve">Maailman väkiluvun ennustetaan kasvavan 8,6 miljardiin vuoteen 2030 mennessä. Vuonna 2050 väkiluvun ennustetaan olevan jo 9,8 miljardia ja vuonna 2100 11,2 miljardia. [</w:t>
      </w:r>
      <w:r>
        <w:t xml:space="preserve">DESA (2017)</w:t>
      </w:r>
      <w:r>
        <w:t xml:space="preserve">; faoLeveragingFoodSystems2017] Vuonna 2050 maailman tulisi pystyä tuottamaan 70 % enemmän ruokaa vuoden 2006 tuotantoon verrattuna</w:t>
      </w:r>
      <w:r>
        <w:t xml:space="preserve"> </w:t>
      </w:r>
      <w:r>
        <w:t xml:space="preserve">(ks. FAO 2018a, 2009)</w:t>
      </w:r>
      <w:r>
        <w:t xml:space="preserve">. Ruokatuotannon rajalliset ja usein herkät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(”business as usual”) ei enää ole vaihtoehto vaan tulee laajamittaisesti pyrkiä uusien ratkaisujen ja innovatiivisten uusien teknologioiden käyttöönottoon [</w:t>
      </w:r>
      <w:r>
        <w:t xml:space="preserve">FAO (2017a)</w:t>
      </w:r>
      <w:r>
        <w:t xml:space="preserve">; faoFutureFoodAgriculture2018].</w:t>
      </w:r>
    </w:p>
    <w:p>
      <w:pPr>
        <w:pStyle w:val="BodyText"/>
      </w:pPr>
      <w:r>
        <w:t xml:space="preserve">Monet tahot näkevät uusien digitaalisten teknologioiden soveltamisen ja erityisesti internet-pohjaisten teknologioiden keskeisenä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tulevassa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Käytössä olevien 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ruokatuotannon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edessä on kuitenkin useita avoimia haasteita:</w:t>
      </w:r>
    </w:p>
    <w:p>
      <w:pPr>
        <w:pStyle w:val="BodyText"/>
      </w:pPr>
      <w:r>
        <w:t xml:space="preserve">On meneillään teknologia-aallon alkuvaihe, jossa uusia AIoT-teknologioita kokeillaan</w:t>
      </w:r>
      <w:r>
        <w:t xml:space="preserve"> </w:t>
      </w:r>
      <w:r>
        <w:rPr>
          <w:i/>
        </w:rPr>
        <w:t xml:space="preserve">vallankumous!</w:t>
      </w:r>
      <w:r>
        <w:t xml:space="preserve"> </w:t>
      </w:r>
      <w:r>
        <w:t xml:space="preserve">Maatalouden digitalisaation ja AIoT-sovelluksien potentiaalisen vaikuttavuudesta huolimatta alan tapahtumista ei uutisoida näkyvästi alan julkaisujen ulkopuolella.</w:t>
      </w:r>
      <w:r>
        <w:t xml:space="preserve"> </w:t>
      </w:r>
      <w:r>
        <w:t xml:space="preserve">Tarvitaan kuitenkin monia eri alojen osaajia, koska kohdattavat haasteet ja mahdollisuudet ovat huomattavia</w:t>
      </w:r>
    </w:p>
    <w:p>
      <w:pPr>
        <w:pStyle w:val="BodyText"/>
      </w:pPr>
      <w:r>
        <w:t xml:space="preserve">paikkaa puutetta</w:t>
      </w:r>
    </w:p>
    <w:p>
      <w:pPr>
        <w:pStyle w:val="BodyText"/>
      </w:pPr>
      <w:r>
        <w:t xml:space="preserve">tärkeää koska: ruoantuotannon muutos on tärkeä ja merkityksellinen ja sille keskeinen kasvintuotanto, ei tunnettu - ei oppareita, asiantuntijoita tarvitaan useilta aloilta, kehitykseen tarvitaan kaikki asiantuntemus, ala muutoksessa - kehitysnäkymiä</w:t>
      </w:r>
    </w:p>
    <w:p>
      <w:pPr>
        <w:pStyle w:val="BodyText"/>
      </w:pPr>
      <w:r>
        <w:t xml:space="preserve">Opinnäytetyötä voidaan hyödyntää tietolähteenä kasvintuotannossa käytettävien IoT:in teknologiasovelluksien sekä niitä käsittelevien tutkimusten tarkemmassa kartoituksessa tai uusien tietojen hakemisessa.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käytettäviin IoT:in teknologiasovelluksista ja niiden tutkimuksesta. Opinnäytetyön aihepiirinä on IoT:in kasvintuotannon sovelluksiin liittyvät tutkimukset, julkaisut ja teknologiasovellukset.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Heading2"/>
      </w:pPr>
      <w:bookmarkStart w:id="23" w:name="käsitteet"/>
      <w:bookmarkEnd w:id="23"/>
      <w:r>
        <w:t xml:space="preserve">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2"/>
          <w:ilvl w:val="0"/>
        </w:numPr>
      </w:pPr>
      <w:r>
        <w:t xml:space="preserve">Tuotantoprosessien parannuksia</w:t>
      </w:r>
    </w:p>
    <w:p>
      <w:pPr>
        <w:pStyle w:val="Compact"/>
        <w:numPr>
          <w:numId w:val="1022"/>
          <w:ilvl w:val="0"/>
        </w:numPr>
      </w:pPr>
      <w:r>
        <w:t xml:space="preserve">Investointien keräämistä</w:t>
      </w:r>
    </w:p>
    <w:p>
      <w:pPr>
        <w:pStyle w:val="Compact"/>
        <w:numPr>
          <w:numId w:val="1022"/>
          <w:ilvl w:val="0"/>
        </w:numPr>
      </w:pPr>
      <w:r>
        <w:t xml:space="preserve">Markkinoiden toiminnan tehostamista</w:t>
      </w:r>
    </w:p>
    <w:p>
      <w:pPr>
        <w:pStyle w:val="Compact"/>
        <w:numPr>
          <w:numId w:val="1022"/>
          <w:ilvl w:val="0"/>
        </w:numPr>
      </w:pPr>
      <w:r>
        <w:t xml:space="preserve">Arvoketjun toimijoiden yhteyksien parantannuksia</w:t>
      </w:r>
    </w:p>
    <w:p>
      <w:pPr>
        <w:pStyle w:val="Compact"/>
        <w:numPr>
          <w:numId w:val="1022"/>
          <w:ilvl w:val="0"/>
        </w:numPr>
      </w:pPr>
      <w:r>
        <w:t xml:space="preserve">Tiedonjakoverkostojen toiminnan mahdollistamista</w:t>
      </w:r>
    </w:p>
    <w:p>
      <w:pPr>
        <w:pStyle w:val="Compact"/>
        <w:numPr>
          <w:numId w:val="1022"/>
          <w:ilvl w:val="0"/>
        </w:numPr>
      </w:pPr>
      <w:r>
        <w:t xml:space="preserve">Arvoa lisääviä palveluita</w:t>
      </w:r>
    </w:p>
    <w:p>
      <w:pPr>
        <w:pStyle w:val="Compact"/>
        <w:numPr>
          <w:numId w:val="1022"/>
          <w:ilvl w:val="0"/>
        </w:numPr>
      </w:pPr>
      <w:r>
        <w:t xml:space="preserve">Riskien vähentämistä</w:t>
      </w:r>
    </w:p>
    <w:p>
      <w:pPr>
        <w:pStyle w:val="Compact"/>
        <w:numPr>
          <w:numId w:val="102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käydään ensin lyhyesti läpi IoT:in historiaa, määrittelyjä, referenssiarkkitehtuureja ja yleistä luonnehdintaa. Seuraavaksi alaluvussa</w:t>
      </w:r>
      <w:r>
        <w:t xml:space="preserve"> </w:t>
      </w:r>
      <w:r>
        <w:t xml:space="preserve">“</w:t>
      </w:r>
      <w:r>
        <w:t xml:space="preserve">Teollisuuden IoT:in taustaa (IIoT)</w:t>
      </w:r>
      <w:r>
        <w:t xml:space="preserve">”</w:t>
      </w:r>
      <w:r>
        <w:t xml:space="preserve"> </w:t>
      </w:r>
      <w:r>
        <w:t xml:space="preserve">käsitellään vastaavasti teollisen IoT:iä ja lopuksi alaluvussa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3"/>
          <w:ilvl w:val="0"/>
        </w:numPr>
      </w:pPr>
      <w:r>
        <w:rPr>
          <w:b/>
        </w:rPr>
        <w:t xml:space="preserve">Avoimuus</w:t>
      </w:r>
      <w:r>
        <w:t xml:space="preserve">, jonka avulla kolmannet osapuolet voivat kehittää rajapintoihin perustuvia uusia palveluita</w:t>
      </w:r>
    </w:p>
    <w:p>
      <w:pPr>
        <w:pStyle w:val="Compact"/>
        <w:numPr>
          <w:numId w:val="102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3"/>
          <w:ilvl w:val="0"/>
        </w:numPr>
      </w:pPr>
      <w:r>
        <w:rPr>
          <w:b/>
        </w:rPr>
        <w:t xml:space="preserve">Kompleksisuus</w:t>
      </w:r>
      <w:r>
        <w:t xml:space="preserve">, jolla materiaalien, energian ja tiedon virtaukset muodostavat yhteiskäyttöisiä verkostoja</w:t>
      </w:r>
    </w:p>
    <w:p>
      <w:pPr>
        <w:pStyle w:val="Compact"/>
        <w:numPr>
          <w:numId w:val="102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3"/>
          <w:ilvl w:val="0"/>
        </w:numPr>
      </w:pPr>
      <w:r>
        <w:rPr>
          <w:b/>
        </w:rPr>
        <w:t xml:space="preserve">Yhteentoimivuus</w:t>
      </w:r>
      <w:r>
        <w:t xml:space="preserve">, joka IoT-ratkaisuissa mahdollistaa yhteistoiminnan suurelle määrälle heterogeenisiä laitteita ja teknologioita</w:t>
      </w:r>
    </w:p>
    <w:p>
      <w:pPr>
        <w:pStyle w:val="Compact"/>
        <w:numPr>
          <w:numId w:val="102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4"/>
          <w:ilvl w:val="0"/>
        </w:numPr>
      </w:pPr>
      <w:r>
        <w:t xml:space="preserve">Objektien älykkyyden mahdollistavien teknologioiden kypsyminen ja niiden käyttöönoton vaatimien investointien pienentyminen</w:t>
      </w:r>
    </w:p>
    <w:p>
      <w:pPr>
        <w:pStyle w:val="Compact"/>
        <w:numPr>
          <w:numId w:val="1024"/>
          <w:ilvl w:val="0"/>
        </w:numPr>
      </w:pPr>
      <w:r>
        <w:t xml:space="preserve">IIoT-sovelluksien vaatimat nopeat tietoliikenneyhdeydet ovat laajentuneet kattamaan suurimman osaan teollista maailmaa</w:t>
      </w:r>
    </w:p>
    <w:p>
      <w:pPr>
        <w:pStyle w:val="Compact"/>
        <w:numPr>
          <w:numId w:val="1024"/>
          <w:ilvl w:val="0"/>
        </w:numPr>
      </w:pPr>
      <w:r>
        <w:t xml:space="preserve">Globaalit prosessien ja liiketoiminnan hallinnan ratkaisut ovat mahdollistuneet internetin sekä edullisten ja tehokkaiden pilvipalveluiden avulla</w:t>
      </w:r>
    </w:p>
    <w:p>
      <w:pPr>
        <w:pStyle w:val="Compact"/>
        <w:numPr>
          <w:numId w:val="102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2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8"/>
          <w:ilvl w:val="0"/>
        </w:numPr>
      </w:pPr>
      <w:r>
        <w:t xml:space="preserve">Haastattelulla voidaan hankkia tietoa vähän kartoitetusta alueesta, jolloin tutkijan on vaikea ennakoida vastausten suuntia</w:t>
      </w:r>
    </w:p>
    <w:p>
      <w:pPr>
        <w:pStyle w:val="Compact"/>
        <w:numPr>
          <w:numId w:val="1028"/>
          <w:ilvl w:val="0"/>
        </w:numPr>
      </w:pPr>
      <w:r>
        <w:t xml:space="preserve">Haastatteluissa voidaan saada monitahoisesti ja moniin suuntiin viittaavia vastauksia</w:t>
      </w:r>
    </w:p>
    <w:p>
      <w:pPr>
        <w:pStyle w:val="Compact"/>
        <w:numPr>
          <w:numId w:val="1028"/>
          <w:ilvl w:val="0"/>
        </w:numPr>
      </w:pPr>
      <w:r>
        <w:t xml:space="preserve">Haastatteluissa saaduille vastauksille voidaan pyytää selvennöksiä;</w:t>
      </w:r>
    </w:p>
    <w:p>
      <w:pPr>
        <w:pStyle w:val="Compact"/>
        <w:numPr>
          <w:numId w:val="102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29"/>
          <w:ilvl w:val="0"/>
        </w:numPr>
      </w:pPr>
      <w:r>
        <w:t xml:space="preserve">Haastattelun tekemisen vaatima taito</w:t>
      </w:r>
    </w:p>
    <w:p>
      <w:pPr>
        <w:pStyle w:val="Compact"/>
        <w:numPr>
          <w:numId w:val="1029"/>
          <w:ilvl w:val="0"/>
        </w:numPr>
      </w:pPr>
      <w:r>
        <w:t xml:space="preserve">Haastattelujen vaatima aika ja kustannukset</w:t>
      </w:r>
    </w:p>
    <w:p>
      <w:pPr>
        <w:pStyle w:val="Compact"/>
        <w:numPr>
          <w:numId w:val="1029"/>
          <w:ilvl w:val="0"/>
        </w:numPr>
      </w:pPr>
      <w:r>
        <w:t xml:space="preserve">Haastatteluissa tehtävien virheiden mahdollisuus sekä</w:t>
      </w:r>
    </w:p>
    <w:p>
      <w:pPr>
        <w:pStyle w:val="Compact"/>
        <w:numPr>
          <w:numId w:val="102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__</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0"/>
          <w:ilvl w:val="0"/>
        </w:numPr>
      </w:pPr>
      <w:r>
        <w:t xml:space="preserve">Passport Global Market (http://go.euromonitor.com/passport),</w:t>
      </w:r>
    </w:p>
    <w:p>
      <w:pPr>
        <w:pStyle w:val="Compact"/>
        <w:numPr>
          <w:numId w:val="1030"/>
          <w:ilvl w:val="0"/>
        </w:numPr>
      </w:pPr>
      <w:r>
        <w:t xml:space="preserve">Doria (http://www.doria.fi),</w:t>
      </w:r>
    </w:p>
    <w:p>
      <w:pPr>
        <w:pStyle w:val="Compact"/>
        <w:numPr>
          <w:numId w:val="1030"/>
          <w:ilvl w:val="0"/>
        </w:numPr>
      </w:pPr>
      <w:r>
        <w:t xml:space="preserve">Elsevier ScienceDirect Freedom Collection (https://www.elsevier.com/solutions/sciencedirect),</w:t>
      </w:r>
    </w:p>
    <w:p>
      <w:pPr>
        <w:pStyle w:val="Compact"/>
        <w:numPr>
          <w:numId w:val="1030"/>
          <w:ilvl w:val="0"/>
        </w:numPr>
      </w:pPr>
      <w:r>
        <w:t xml:space="preserve">EBSCO Academic Search Elite (https://www.ebsco.com/products/research-databases/academic-search-elite),</w:t>
      </w:r>
    </w:p>
    <w:p>
      <w:pPr>
        <w:pStyle w:val="Compact"/>
        <w:numPr>
          <w:numId w:val="1030"/>
          <w:ilvl w:val="0"/>
        </w:numPr>
      </w:pPr>
      <w:r>
        <w:t xml:space="preserve">Sage Premier SAGE Journals Online (https://uk.sagepub.com/en-gb/eur/sage-premier),</w:t>
      </w:r>
    </w:p>
    <w:p>
      <w:pPr>
        <w:pStyle w:val="Compact"/>
        <w:numPr>
          <w:numId w:val="103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1"/>
          <w:ilvl w:val="0"/>
        </w:numPr>
      </w:pPr>
      <w:r>
        <w:t xml:space="preserve">Aaltodoc (https://aaltodoc.aalto.fi)</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ACM Digital Library</w:t>
      </w:r>
    </w:p>
    <w:p>
      <w:pPr>
        <w:pStyle w:val="Compact"/>
        <w:numPr>
          <w:numId w:val="1031"/>
          <w:ilvl w:val="0"/>
        </w:numPr>
      </w:pPr>
      <w:r>
        <w:t xml:space="preserve">ProQuest Business Premium</w:t>
      </w:r>
    </w:p>
    <w:p>
      <w:pPr>
        <w:pStyle w:val="Compact"/>
        <w:numPr>
          <w:numId w:val="1031"/>
          <w:ilvl w:val="0"/>
        </w:numPr>
      </w:pPr>
      <w:r>
        <w:t xml:space="preserve">Dart</w:t>
      </w:r>
    </w:p>
    <w:p>
      <w:pPr>
        <w:pStyle w:val="Compact"/>
        <w:numPr>
          <w:numId w:val="1031"/>
          <w:ilvl w:val="0"/>
        </w:numPr>
      </w:pPr>
      <w:r>
        <w:t xml:space="preserve">Passport Global Market (http://go.euromonitor.com/passport)</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Theseus (https://www.theseus.fi)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(ks. alaluku __</w:t>
      </w:r>
      <w:r>
        <w:t xml:space="preserve"> </w:t>
      </w:r>
      <w:r>
        <w:t xml:space="preserve">“</w:t>
      </w:r>
      <w:r>
        <w:t xml:space="preserve">Kuvailevan kirjallisuuskatsauksen toteutus</w:t>
      </w:r>
      <w:r>
        <w:t xml:space="preserve">”</w:t>
      </w:r>
      <w:r>
        <w:t xml:space="preserve">).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taulukoitujen-tietojen-avulla"/>
      <w:bookmarkEnd w:id="61"/>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2"/>
          <w:ilvl w:val="0"/>
        </w:numPr>
      </w:pPr>
      <w:r>
        <w:t xml:space="preserve">IoT-ratkaisuiden integraation varmistaminen avoimien arkkitehtuurien, alustojen ja standardien avulla</w:t>
      </w:r>
    </w:p>
    <w:p>
      <w:pPr>
        <w:pStyle w:val="Compact"/>
        <w:numPr>
          <w:numId w:val="103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sovelluksien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
      <w:bookmarkEnd w:id="75"/>
      <w:r>
        <w:t xml:space="preserve">AIoT:in avoimet haasteet</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haasteet"/>
      <w:bookmarkEnd w:id="114"/>
      <w:r>
        <w:t xml:space="preserve">AIoT:in haasteet</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ruoantuotannon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Ruoantuotannon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7">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8">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8">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1">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2">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3">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4">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2">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4">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5">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6">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7">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9">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0">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1">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2">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3">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4">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5">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6">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7">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8">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9">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43903dc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c115ba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5f23af3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a1be938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2018-11-14T22:20:52Z</dcterms:created>
  <dcterms:modified xsi:type="dcterms:W3CDTF">2018-11-14T22:20:52Z</dcterms:modified>
</cp:coreProperties>
</file>